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600"/>
      </w:pPr>
      <w:r>
        <w:rPr>
          <w:b/>
          <w:bCs/>
          <w:color w:val="1F8A82"/>
          <w:sz w:val="20"/>
          <w:szCs w:val="20"/>
        </w:rPr>
        <w:t xml:space="preserve">LOCAL BRIDGE</w:t>
      </w:r>
    </w:p>
    <w:p>
      <w:pPr>
        <w:spacing w:after="0" w:before="40"/>
      </w:pPr>
      <w:r>
        <w:rPr>
          <w:b/>
          <w:bCs/>
          <w:color w:val="13314F"/>
          <w:sz w:val="64"/>
          <w:szCs w:val="64"/>
        </w:rPr>
        <w:t xml:space="preserve">State of Stablecoins</w:t>
      </w:r>
    </w:p>
    <w:p>
      <w:pPr>
        <w:spacing w:after="60" w:before="40"/>
      </w:pPr>
      <w:r>
        <w:rPr>
          <w:color w:val="5A6672"/>
          <w:sz w:val="32"/>
          <w:szCs w:val="32"/>
        </w:rPr>
        <w:t xml:space="preserve">Май 2026 / May 2026</w:t>
      </w:r>
    </w:p>
    <w:p>
      <w:pPr>
        <w:pBdr>
          <w:bottom w:val="single" w:color="1F8A82" w:sz="12" w:space="6"/>
        </w:pBdr>
        <w:spacing w:after="200" w:before="60"/>
      </w:pPr>
      <w:r>
        <w:t xml:space="preserve"/>
      </w:r>
    </w:p>
    <w:p>
      <w:pPr>
        <w:spacing w:after="120" w:line="276"/>
      </w:pPr>
      <w:r>
        <w:rPr>
          <w:color w:val="33414C"/>
          <w:sz w:val="22"/>
          <w:szCs w:val="22"/>
        </w:rPr>
        <w:t xml:space="preserve">Ежемесячный обзор того, как стейблкоины входят в традиционные финансы: банки и центральные банки, эмитенты, регулирование и применение в реальном секторе. Коротко о главном — со ссылками на первоисточники.</w:t>
      </w:r>
    </w:p>
    <w:p>
      <w:pPr>
        <w:spacing w:after="120" w:line="276"/>
      </w:pPr>
      <w:r>
        <w:rPr>
          <w:i/>
          <w:iCs/>
          <w:color w:val="5A6672"/>
          <w:sz w:val="20"/>
          <w:szCs w:val="20"/>
        </w:rPr>
        <w:t xml:space="preserve">A monthly read on how stablecoins are entering mainstream finance — banks and central banks, issuers, regulation and real-economy use. The essentials, with links to primary sources.</w:t>
      </w:r>
    </w:p>
    <w:p>
      <w:pPr>
        <w:spacing w:after="80" w:before="260"/>
      </w:pPr>
      <w:r>
        <w:rPr>
          <w:b/>
          <w:bCs/>
          <w:color w:val="13314F"/>
          <w:sz w:val="22"/>
          <w:szCs w:val="22"/>
        </w:rPr>
        <w:t xml:space="preserve">Картина рынка на конец мая / Market snapshot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FFFFFF" w:sz="6"/>
          <w:insideV w:val="single" w:color="FFFFFF" w:sz="6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2F1E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Объём рынка / Market cap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$300+ млрд</w:t>
            </w:r>
          </w:p>
          <w:p>
            <w:r>
              <w:rPr>
                <w:color w:val="5A6672"/>
                <w:sz w:val="15"/>
                <w:szCs w:val="15"/>
              </w:rPr>
              <w:t xml:space="preserve">с &lt;$10 млрд шесть лет назад (ЕЦБ)</w:t>
            </w:r>
          </w:p>
        </w:tc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AF1F5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Концентрация / Concentration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~90%</w:t>
            </w:r>
          </w:p>
          <w:p>
            <w:r>
              <w:rPr>
                <w:color w:val="5A6672"/>
                <w:sz w:val="15"/>
                <w:szCs w:val="15"/>
              </w:rPr>
              <w:t xml:space="preserve">рынка у Tether и Circle</w:t>
            </w:r>
          </w:p>
        </w:tc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2F1E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Номинация / Denomination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~98%</w:t>
            </w:r>
          </w:p>
          <w:p>
            <w:r>
              <w:rPr>
                <w:color w:val="5A6672"/>
                <w:sz w:val="15"/>
                <w:szCs w:val="15"/>
              </w:rPr>
              <w:t xml:space="preserve">стейблкоинов — в долларах США</w:t>
            </w:r>
          </w:p>
        </w:tc>
      </w:tr>
      <w:tr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AF1F5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Оборот USDC за Q1 / USDC volume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$21,5 трлн</w:t>
            </w:r>
          </w:p>
          <w:p>
            <w:r>
              <w:rPr>
                <w:color w:val="5A6672"/>
                <w:sz w:val="15"/>
                <w:szCs w:val="15"/>
              </w:rPr>
              <w:t xml:space="preserve">+263% год к году (Circle)</w:t>
            </w:r>
          </w:p>
        </w:tc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2F1E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B2B-доля / B2B share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~60%</w:t>
            </w:r>
          </w:p>
          <w:p>
            <w:r>
              <w:rPr>
                <w:color w:val="5A6672"/>
                <w:sz w:val="15"/>
                <w:szCs w:val="15"/>
              </w:rPr>
              <w:t xml:space="preserve">оборота стейблкоинов — бизнес-платежи</w:t>
            </w:r>
          </w:p>
        </w:tc>
        <w:tc>
          <w:tcPr>
            <w:tcW w:type="dxa" w:w="312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AF1F5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20"/>
            </w:pPr>
            <w:r>
              <w:rPr>
                <w:b/>
                <w:bCs/>
                <w:color w:val="5A6672"/>
                <w:sz w:val="15"/>
                <w:szCs w:val="15"/>
              </w:rPr>
              <w:t xml:space="preserve">Доля в $-платежах / Of USD payments</w:t>
            </w:r>
          </w:p>
          <w:p>
            <w:pPr>
              <w:spacing w:after="20"/>
            </w:pPr>
            <w:r>
              <w:rPr>
                <w:b/>
                <w:bCs/>
                <w:color w:val="13314F"/>
                <w:sz w:val="34"/>
                <w:szCs w:val="34"/>
              </w:rPr>
              <w:t xml:space="preserve">3% → 10%</w:t>
            </w:r>
          </w:p>
          <w:p>
            <w:r>
              <w:rPr>
                <w:color w:val="5A6672"/>
                <w:sz w:val="15"/>
                <w:szCs w:val="15"/>
              </w:rPr>
              <w:t xml:space="preserve">прогноз: 2026 → 2031</w:t>
            </w:r>
          </w:p>
        </w:tc>
      </w:tr>
    </w:tbl>
    <w:p>
      <w:pPr>
        <w:spacing w:after="0" w:before="120"/>
      </w:pPr>
      <w:r>
        <w:rPr>
          <w:i/>
          <w:iCs/>
          <w:color w:val="5A6672"/>
          <w:sz w:val="16"/>
          <w:szCs w:val="16"/>
        </w:rPr>
        <w:t xml:space="preserve">Цифры приведены по оценкам, упомянутым в источниках за период; точные значения зависят от методологии. / Figures reflect estimates cited in the sources for the period; exact values vary by methodology.</w:t>
      </w:r>
    </w:p>
    <w:p>
      <w:r>
        <w:br w:type="page"/>
      </w:r>
    </w:p>
    <w:p>
      <w:pPr>
        <w:pStyle w:val="Heading1"/>
      </w:pPr>
      <w:r>
        <w:t xml:space="preserve">Главное за месяц / The month in brief</w:t>
      </w:r>
    </w:p>
    <w:p>
      <w:pPr>
        <w:spacing w:after="120" w:line="276"/>
      </w:pPr>
      <w:r>
        <w:rPr>
          <w:sz w:val="21"/>
          <w:szCs w:val="21"/>
        </w:rPr>
        <w:t xml:space="preserve">Май 2026 — месяц, когда стейблкоины окончательно перестали быть «крипто-историей» и стали инфраструктурным вопросом для банков, регуляторов и казначейств. Восемь событий, мимо которых нельзя пройти: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SoFi запустил SoFiUSD — первый стейблкоин от лицензированного нацбанка США напрямую розничным клиентам (~15 млн человек).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Western Union выпустил USDPT на Solana — гигант денежных переводов строит на стейблкоине свою стратегию.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Circle отчитался за Q1: объём USDC — $21,5 трлн, и по «очищенному» обороту USDC впервые обогнал USDT.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Главная регуляторная битва — CLARITY Act: компромисс по «доходности» стейблкоинов и жёсткое сопротивление банков.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ЕЦБ публично усомнился, нужны ли Европе стейблкоины — и сделал ставку на цифровой евро и токенизированные депозиты.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37 европейских банков объединились вокруг единого евро-стейблкоина Qivalis — рыночный ответ на доминирование доллара.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Регуляторы США (NCUA, FDIC, OCC) перешли от закона GENIUS к конкретным правилам для эмитентов.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Реальный сектор: ~60% оборота стейблкоинов — это уже B2B; следующая волна — корпоративные казначейства и ИИ-агенты.</w:t>
      </w:r>
    </w:p>
    <w:p>
      <w:pPr>
        <w:pBdr>
          <w:bottom w:val="single" w:color="C9D6DF" w:sz="6" w:space="1"/>
        </w:pBdr>
        <w:spacing w:after="160" w:before="80"/>
      </w:pPr>
      <w:r>
        <w:t xml:space="preserve"/>
      </w:r>
    </w:p>
    <w:p>
      <w:pPr>
        <w:pStyle w:val="Heading1"/>
      </w:pPr>
      <w:r>
        <w:t xml:space="preserve">Ключевые события / Key events</w:t>
      </w:r>
    </w:p>
    <w:p>
      <w:pPr>
        <w:pStyle w:val="Heading2"/>
      </w:pPr>
      <w:r>
        <w:t xml:space="preserve">1. SoFi: первый стейблкоин от национального банка США — сразу рознице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SoFi запустил SoFiUSD — стейблкоin, обеспеченный долларом 1:1 и выпущенный на блокчейнах Ethereum и Solana. Это первый случай, когда лицензированный национальный банк США предлагает стейблкоин напрямую розничным клиентам в собственном приложении: почти 15 млн пользователей SoFi теперь могут покупать, продавать, хранить и конвертировать SoFiUSD, а погашение 1:1 в доллары идёт через сам SoFi Bank.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До сих пор стейблкоины выпускали финтех-компании и крипто-эмитенты, а банки в основном наблюдали со стороны. SoFi стирает эту границу: токен выпускает регулируемый банк, под банковским надзором, с прицелом на «классические» сценарии — трансграничные и B2B-платежи. В планах — токенизированные депозиты с процентом, счета со страховкой FDIC и переводы 24/7. Это шаблон, по которому за SoFi могут пойти другие банки.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SoFi launched </w:t>
            </w:r>
            <w:r>
              <w:rPr>
                <w:b/>
                <w:bCs/>
                <w:sz w:val="19"/>
                <w:szCs w:val="19"/>
              </w:rPr>
              <w:t xml:space="preserve">SoFiUSD</w:t>
            </w:r>
            <w:r>
              <w:rPr>
                <w:sz w:val="19"/>
                <w:szCs w:val="19"/>
              </w:rPr>
              <w:t xml:space="preserve">, the first stablecoin issued by a U.S. national bank offered directly to retail customers, on Ethereum and Solana. Its ~15M members can buy, hold and redeem it 1:1 via SoFi Bank. The bank is targeting cross-border and B2B payments, with interest-bearing tokenized deposits, FDIC-insured accounts and 24/7 transfers planned. Significance: a regulated bank — not a fintech — is now the issuer, a template others may follow.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xlqh0j1rttaofzqxpcj7b">
        <w:r>
          <w:rPr>
            <w:rStyle w:val="Hyperlink"/>
            <w:sz w:val="19"/>
            <w:szCs w:val="19"/>
          </w:rPr>
          <w:t xml:space="preserve">CoinDesk (27 мая)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240xvclyafzdjmtvjgesl">
        <w:r>
          <w:rPr>
            <w:rStyle w:val="Hyperlink"/>
            <w:sz w:val="19"/>
            <w:szCs w:val="19"/>
          </w:rPr>
          <w:t xml:space="preserve">Business Wire</w:t>
        </w:r>
      </w:hyperlink>
    </w:p>
    <w:p>
      <w:pPr>
        <w:pStyle w:val="Heading2"/>
      </w:pPr>
      <w:r>
        <w:t xml:space="preserve">2. Western Union: USDPT на Solana — переводы переходят на стейблкоин-рельсы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Western Union 4 мая объявил о запуске собственного долларового стейблкоина USDPT на блокчейне Solana. Токен выпускает Anchorage Digital Bank N.A. — первый в США крипто-банк с федеральной лицензией. Вокруг USDPT компания строит целую инфраструктуру: мгновенные трансграничные расчёты, глобальные выплаты наличными, расчёты между агентами и карту Stable Card. Потребительский продукт обещают в июне 2026 на отдельных рынках — в Мексике и на Филиппинах.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Это не стартап, а один из старейших игроков денежных переводов с глобальной сетью выплат. CEO компании прямо назвал USDPT «фундаментом» основной стратегии. Для рынка это сигнал: стейблкоины из инструмента крипто-трейдеров превращаются в рабочую технологию для самой «приземлённой» задачи — отправить деньги домой быстрее и дешевле, в том числе людям без банковского счёта.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Western Union launched </w:t>
            </w:r>
            <w:r>
              <w:rPr>
                <w:b/>
                <w:bCs/>
                <w:sz w:val="19"/>
                <w:szCs w:val="19"/>
              </w:rPr>
              <w:t xml:space="preserve">USDPT</w:t>
            </w:r>
            <w:r>
              <w:rPr>
                <w:sz w:val="19"/>
                <w:szCs w:val="19"/>
              </w:rPr>
              <w:t xml:space="preserve">, a USD stablecoin on Solana issued by Anchorage Digital Bank N.A., on May 4. It anchors instant cross-border settlement, global cash payout, agent settlement and a Stable Card, with a consumer product due June 2026 in markets like Mexico and the Philippines. The CEO called it the foundation of the company's strategy — a remittance incumbent betting its core business on stablecoin rails.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m1r4rnoi3mixdygfvasvv">
        <w:r>
          <w:rPr>
            <w:rStyle w:val="Hyperlink"/>
            <w:sz w:val="19"/>
            <w:szCs w:val="19"/>
          </w:rPr>
          <w:t xml:space="preserve">Western Union (пресс-релиз)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vbvcvqnlzkncwmn3c-__7">
        <w:r>
          <w:rPr>
            <w:rStyle w:val="Hyperlink"/>
            <w:sz w:val="19"/>
            <w:szCs w:val="19"/>
          </w:rPr>
          <w:t xml:space="preserve">CoinDesk (5 мая)</w:t>
        </w:r>
      </w:hyperlink>
    </w:p>
    <w:p>
      <w:pPr>
        <w:pStyle w:val="Heading2"/>
      </w:pPr>
      <w:r>
        <w:t xml:space="preserve">3. Circle Q1 2026: $21,5 трлн оборота USDC и обгон USDT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11 мая Circle (эмитент USDC) отчитался за первый квартал. Объём он-чейн транзакций USDC вырос на 263% — до $21,5 трлн. Чистая прибыль при этом снизилась на 15% до $55 млн — в основном из-за расходов на акции после IPO и инвестиций в новую сеть Arc; скорректированная EBITDA, наоборот, выросла на 24% до $151 млн. По «очищенному» обороту (без спекулятивных и арбитражных операций, по методике Mizuho) USDC впервые обогнал Tether USDT: ~$2,2 трлн против $1,3 трлн с начала года. Circle также привлёк $222 млн в продаже токена сети Arc (оценка $3 млрд) и представил Agent Stack — инструменты, позволяющие ИИ-агентам самостоятельно платить в USDC.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Отчёт показывает, как устроена экономика регулируемого эмитента: деньги делаются на резервах и обороте, а не на хайпе. Обгон USDT по «полезному» обороту — важный сдвиг: для бизнеса и банков USDC выглядит как более прозрачный и комплаентный доллар на блокчейне. А ставка на платежи ИИ-агентов намекает, куда смещается следующий фронт спроса.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Circle's Q1 (reported May 11): USDC on-chain volume up 263% to </w:t>
            </w:r>
            <w:r>
              <w:rPr>
                <w:b/>
                <w:bCs/>
                <w:sz w:val="19"/>
                <w:szCs w:val="19"/>
              </w:rPr>
              <w:t xml:space="preserve">$21.5 trillion</w:t>
            </w:r>
            <w:r>
              <w:rPr>
                <w:sz w:val="19"/>
                <w:szCs w:val="19"/>
              </w:rPr>
              <w:t xml:space="preserve">; net income down 15% to $55M (post-IPO stock comp + Arc investment), but adjusted EBITDA up 24% to $151M. On Mizuho's wash-filtered basis, USDC overtook USDT (~$2.2T vs $1.3T YTD). Circle also raised $222M for its Arc network ($3B valuation) and launched Agent Stack so AI agents can pay in USDC. Takeaway: a regulated issuer's economics rest on reserves and real volume — and compliant USDC is gaining on Tether.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jktws8yn4sikg68janicv">
        <w:r>
          <w:rPr>
            <w:rStyle w:val="Hyperlink"/>
            <w:sz w:val="19"/>
            <w:szCs w:val="19"/>
          </w:rPr>
          <w:t xml:space="preserve">BeInCrypto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ojj0f2tvrpyqo9ym8g5ng">
        <w:r>
          <w:rPr>
            <w:rStyle w:val="Hyperlink"/>
            <w:sz w:val="19"/>
            <w:szCs w:val="19"/>
          </w:rPr>
          <w:t xml:space="preserve">PYMNTS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nn0jw_ogtq5mhywkm9xtg">
        <w:r>
          <w:rPr>
            <w:rStyle w:val="Hyperlink"/>
            <w:sz w:val="19"/>
            <w:szCs w:val="19"/>
          </w:rPr>
          <w:t xml:space="preserve">Yahoo Finance (Agent Stack)</w:t>
        </w:r>
      </w:hyperlink>
    </w:p>
    <w:p>
      <w:pPr>
        <w:pStyle w:val="Heading2"/>
      </w:pPr>
      <w:r>
        <w:t xml:space="preserve">4. CLARITY Act: спор о «доходности» и сопротивление банков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Главная регуляторная драма мая в США развернулась вокруг закона о структуре рынка — CLARITY Act. Сенаторы Тиллис и Олсобрукс предложили компромисс по «доходности» стейблкоинов: пассивный процент «как по банковскому вкладу» запрещают, но вознаграждения, привязанные к реальной активности (платежи, переводы, он-чейн операции), остаются. Крипто-отрасль (включая Coinbase и Circle) компромисс поддержала; акции Circle 4 мая подскочили почти на 20%. Банки же ответили резко: Американская банковская ассоциация направила в Сенат более 8 000 писем, а глава JPMorgan Джейми Даймон 29 мая заявил, что «банки этого не примут», предупредив, что система «в итоге рванёт».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Это ядро конфликта между традиционными банками и эмитентами стейблкоинов: если на стейблкоины можно начислять что-то похожее на процент, деньги могут начать утекать с банковских депозитов. От того, где Конгресс проведёт границу между «вознаграждением за активность» и «процентом по вкладу», зависят бизнес-модели и банков, и эмитентов — а значит, и условия, на которых стейблкоины придут к корпоративным клиентам.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The CLARITY Act fight centred on stablecoin </w:t>
            </w:r>
            <w:r>
              <w:rPr>
                <w:b/>
                <w:bCs/>
                <w:sz w:val="19"/>
                <w:szCs w:val="19"/>
              </w:rPr>
              <w:t xml:space="preserve">yield</w:t>
            </w:r>
            <w:r>
              <w:rPr>
                <w:sz w:val="19"/>
                <w:szCs w:val="19"/>
              </w:rPr>
              <w:t xml:space="preserve">. A Tillis–Alsobrooks compromise bans passive, deposit-like interest but allows activity-based rewards (payments, transfers, on-chain use). Crypto firms backed it (Circle stock +20% on May 4); banks pushed back hard — the ABA sent 8,000+ letters and JPMorgan's Jamie Dimon said on May 29 "the banks will not accept it." Why it matters: where Congress draws the line between rewards and interest will shape whether deposits migrate to stablecoins — and the terms on which corporates adopt them.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zm-nrueeo6hltlean6shy">
        <w:r>
          <w:rPr>
            <w:rStyle w:val="Hyperlink"/>
            <w:sz w:val="19"/>
            <w:szCs w:val="19"/>
          </w:rPr>
          <w:t xml:space="preserve">CoinDesk (1 мая, текст компромисса)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ltx6jqzxetj2pivn7bnnm">
        <w:r>
          <w:rPr>
            <w:rStyle w:val="Hyperlink"/>
            <w:sz w:val="19"/>
            <w:szCs w:val="19"/>
          </w:rPr>
          <w:t xml:space="preserve">CoinDesk (29 мая, Dimon)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qwqw2g3xtp4znusb-wd-u">
        <w:r>
          <w:rPr>
            <w:rStyle w:val="Hyperlink"/>
            <w:sz w:val="19"/>
            <w:szCs w:val="19"/>
          </w:rPr>
          <w:t xml:space="preserve">Fortune (Senate markup)</w:t>
        </w:r>
      </w:hyperlink>
    </w:p>
    <w:p>
      <w:pPr>
        <w:pStyle w:val="Heading2"/>
      </w:pPr>
      <w:r>
        <w:t xml:space="preserve">5. ЕЦБ: «А нужны ли Европе стейблкоины вообще?»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8 мая ЕЦБ опубликовал программную речь «Stablecoins and the future of money: separating functions from instruments». Главный аргумент: рынок стейблкоинов вырос с менее $10 млрд шесть лет назад до более $300 млрд, при этом ~90% контролируют всего два эмитента — Tether и Circle, и ~98% выпуска номинировано в долларах. ЕЦБ предлагает разделять две функции стейблкоинов — денежную (доступ к «цифровому доллару») и технологическую (расчёты на блокчейне, atomic settlement). Если их разделить, то, по мнению ЕЦБ, аргументы за выпуск собственных евро-стейблкоинов слабее, чем кажется, а нужный технологический эффект достижим через токенизированные депозиты и цифровой евро.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Это чёткий водораздел подходов. США через GENIUS Act прямо поддерживают долларовые стейблкоины — в том числе как способ закрепить спрос на госдолг и «глобальное доминирование доллара». Европа же опасается «цифровой долларизации» и потери монетарного суверенитета и делает ставку на деньги центробанка в цифровой форме. Для бизнеса это значит, что регуляторная среда в долларовой и евро-зонах будет расходиться, и стратегию работы со стейблкоинами придётся строить с учётом юрисдикции.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In a May 8 speech, the ECB argued the case for euro stablecoins is weaker than it looks. It separates a stablecoin's </w:t>
            </w:r>
            <w:r>
              <w:rPr>
                <w:b/>
                <w:bCs/>
                <w:sz w:val="19"/>
                <w:szCs w:val="19"/>
              </w:rPr>
              <w:t xml:space="preserve">monetary</w:t>
            </w:r>
            <w:r>
              <w:rPr>
                <w:sz w:val="19"/>
                <w:szCs w:val="19"/>
              </w:rPr>
              <w:t xml:space="preserve"> function (digital access to a reserve currency) from its </w:t>
            </w:r>
            <w:r>
              <w:rPr>
                <w:b/>
                <w:bCs/>
                <w:sz w:val="19"/>
                <w:szCs w:val="19"/>
              </w:rPr>
              <w:t xml:space="preserve">technological</w:t>
            </w:r>
            <w:r>
              <w:rPr>
                <w:sz w:val="19"/>
                <w:szCs w:val="19"/>
              </w:rPr>
              <w:t xml:space="preserve"> one (on-chain settlement) — and says Europe can get the tech benefits via tokenized deposits and a digital euro. With the market above $300B, ~90% controlled by Tether and Circle and ~98% dollar-denominated, the ECB frames its choice as guarding against digital dollarization. The US (GENIUS Act) and EU are diverging — adoption strategy now depends on jurisdiction.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mcyzrcfent0ujs950ozvo">
        <w:r>
          <w:rPr>
            <w:rStyle w:val="Hyperlink"/>
            <w:sz w:val="19"/>
            <w:szCs w:val="19"/>
          </w:rPr>
          <w:t xml:space="preserve">ЕЦБ, речь от 8 мая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sk0ylvicffuwj92qp86tm">
        <w:r>
          <w:rPr>
            <w:rStyle w:val="Hyperlink"/>
            <w:sz w:val="19"/>
            <w:szCs w:val="19"/>
          </w:rPr>
          <w:t xml:space="preserve">PYMNTS (предупреждение ЕЦБ)</w:t>
        </w:r>
      </w:hyperlink>
    </w:p>
    <w:p>
      <w:pPr>
        <w:pStyle w:val="Heading2"/>
      </w:pPr>
      <w:r>
        <w:t xml:space="preserve">6. Европа отвечает: 37 банков встали за единый евро-стейблкоин Qivalis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20 мая FT сообщила, что нидерландский проект Qivalis (Амстердам) собрал поддержку 37 европейских банков под выпуск единого евро-стейблкоина. К прежним участникам — BNP Paribas, ING и UniCredit — добавились ещё 25 кредиторов, включая ABN Amro, Intesa Sanpaolo и Rabobank. Это делает Qivalis крупнейшим в Европе проектом по числу банков-участников. Сам стейблкоин ещё не запущен: компания подала заявку на лицензию в Центробанк Нидерландов (DNB) и рассчитывает получить её во втором полугодии 2026, чтобы выйти «в эфир» сразу после.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Это прямой рыночный ответ на тревогу, которую публично озвучил ЕЦБ (см. пункт 5). Президент ЕЦБ Кристин Лагард в мае назвала рост долларовых стейблкоинов «обоснованным поводом для беспокойства, рискующим закрепить зависимость от доллара». Из ~$320 млрд стейблкоинов в обращении почти всё — в долларах (Tether и Circle), а существующие евро-токены пока крошечные: EURC от Circle — около $450 млн против $77 млрд у его же долларового USDC; Forge от Société Générale — ~$123 млн. Идея Qivalis — собрать «критическую массу» банков с их клиентами и сетями, чтобы евро-стейблкоин наконец получил реальное распространение. CEO Ян-Оливер Селл подчёркивает «европейский суверенитет» и целит не во внутренние платежи («они и так работают»), а в трансграничные расчёты и мгновенный «атомарный» сеттлмент; идут переговоры и с неевропейскими банками в коридорах денежных переводов.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Per the FT (May 20), Amsterdam-based </w:t>
            </w:r>
            <w:r>
              <w:rPr>
                <w:b/>
                <w:bCs/>
                <w:sz w:val="19"/>
                <w:szCs w:val="19"/>
              </w:rPr>
              <w:t xml:space="preserve">Qivalis</w:t>
            </w:r>
            <w:r>
              <w:rPr>
                <w:sz w:val="19"/>
                <w:szCs w:val="19"/>
              </w:rPr>
              <w:t xml:space="preserve"> now has 37 European banks behind a single euro stablecoin — adding ABN Amro, Intesa Sanpaolo and Rabobank to existing backers BNP Paribas, ING and UniCredit. It is Europe's largest such project by number of supporters; the coin is not yet live, pending a Dutch central bank licence expected in H2 2026. This is a direct market answer to the ECB's sovereignty worry (item 5): of ~$320B stablecoins outstanding, almost all are USD (Tether, Circle), and existing euro tokens are tiny (Circle's EURC ~$450M vs USDC $77B). The bet: critical mass of banks drives real euro-stablecoin adoption, aimed at cross-border payments and atomic settlement, not domestic payments.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kdvrx7bdc94m-qfmue0kr">
        <w:r>
          <w:rPr>
            <w:rStyle w:val="Hyperlink"/>
            <w:sz w:val="19"/>
            <w:szCs w:val="19"/>
          </w:rPr>
          <w:t xml:space="preserve">Financial Times (20 мая)</w:t>
        </w:r>
      </w:hyperlink>
    </w:p>
    <w:p>
      <w:pPr>
        <w:pStyle w:val="Heading2"/>
      </w:pPr>
      <w:r>
        <w:t xml:space="preserve">7. США: от закона GENIUS — к конкретным правилам для эмитентов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Принятый ранее закон GENIUS Act начал обрастать подзаконными правилами. 15 мая Национальная администрация кредитных союзов (NCUA) представила проект правил для лицензированных эмитентов платёжных стейблкоинов — с требованиями к операционным процессам и управлению рисками. У FDIC 18 мая закрылся период общественных комментариев по правилам соблюдения «антиотмывочного» законодательства (BSA) и санкций для поднадзорных эмитентов. Аналогичный процесс ведёт OCC (надзор за национальными банками).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Закон задаёт рамку, но реальные «правила игры» для банков и эмитентов рождаются именно на этом этапе — в детальных требованиях к резервам, погашению, комплаенсу и отчётности. Для компаний, которые думают об использовании или выпуске стейблкоинов в США, это превращает регулирование из абстрактной идеи в конкретный чек-лист. Базовый принцип у крупных юрисдикций (США, ЕС, Великобритания, Сингапур, Гонконг, ОАЭ, Япония) уже общий: полное резервное обеспечение, лицензированные эмитенты и гарантированное право на погашение.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The GENIUS Act is turning into concrete rules. The NCUA proposed issuer standards (May 15); the FDIC's comment period on BSA/sanctions compliance for issuers closed May 18; the OCC is running a parallel rulemaking. This is where the real requirements — reserves, redemption, compliance, reporting — get set. Major jurisdictions (US, EU, UK, Singapore, Hong Kong, UAE, Japan) now share a baseline: full reserve backing, licensed issuers, guaranteed redemption. For firms weighing stablecoin use, regulation becomes a concrete checklist rather than an abstraction.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ohywpmzsv4wtklsz7ir1g">
        <w:r>
          <w:rPr>
            <w:rStyle w:val="Hyperlink"/>
            <w:sz w:val="19"/>
            <w:szCs w:val="19"/>
          </w:rPr>
          <w:t xml:space="preserve">NCUA (проект правил)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w2zmmiemjfh5ksyi8e35e">
        <w:r>
          <w:rPr>
            <w:rStyle w:val="Hyperlink"/>
            <w:sz w:val="19"/>
            <w:szCs w:val="19"/>
          </w:rPr>
          <w:t xml:space="preserve">OCC (GENIUS Act NPRM)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d8htel6r1iw8luunr0yzs">
        <w:r>
          <w:rPr>
            <w:rStyle w:val="Hyperlink"/>
            <w:sz w:val="19"/>
            <w:szCs w:val="19"/>
          </w:rPr>
          <w:t xml:space="preserve">Обзор регулирования (BVNK)</w:t>
        </w:r>
      </w:hyperlink>
    </w:p>
    <w:p>
      <w:pPr>
        <w:pStyle w:val="Heading2"/>
      </w:pPr>
      <w:r>
        <w:t xml:space="preserve">8. Реальный сектор: стейблкоины как казначейская инфраструктура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ЧТО ПРОИЗОШЛО</w:t>
      </w:r>
    </w:p>
    <w:p>
      <w:pPr>
        <w:spacing w:after="120" w:line="276"/>
      </w:pPr>
      <w:r>
        <w:t xml:space="preserve">На фоне громких запусков тихо происходит главное: стейблкоины становятся рабочим инструментом для бизнеса. По оценкам, около 60% оборота стейблкоинов — это уже B2B: компании используют долларовые токены для трансграничных расчётов, оплаты поставщикам и управления ликвидностью. Расчёты на блокчейне снижают полную стоимость трансграничного платежа до 0,1–0,5% против 2–7% у традиционных банковских переводов, а сроки сокращаются с T+2 до T+0 — деньги доходят за минуты и работают 24/7. Платёжные сети (Visa, Mastercard) добавляют расчёты в стейблкоинах, а отраслевые эксперты называют корпоративные казначейства и автономные ИИ-агенты следующей волной спроса (CoinDesk, 7 мая).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8A82"/>
          <w:sz w:val="17"/>
          <w:szCs w:val="17"/>
        </w:rPr>
        <w:t xml:space="preserve">ПОЧЕМУ ЭТО ВАЖНО</w:t>
      </w:r>
    </w:p>
    <w:p>
      <w:pPr>
        <w:spacing w:after="120" w:line="276"/>
      </w:pPr>
      <w:r>
        <w:t xml:space="preserve">Для финансового директора или казначея это уже не «крипта», а способ ускорить и удешевить операции. Показательно, что главный барьер сместился: теперь это не регулирование, а интеграция — 70% компаний готовы внедрять быстрее при наличии готовых коннекторов к ERP и казначейским системам. Иными словами, вопрос перешёл из плоскости «можно ли» в плоскость «как быстро встроить в текущие процессы».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1F5" w:sz="1"/>
              <w:left w:val="single" w:color="1F8A82" w:sz="18"/>
              <w:bottom w:val="single" w:color="EAF1F5" w:sz="1"/>
              <w:right w:val="single" w:color="EAF1F5" w:sz="1"/>
            </w:tcBorders>
            <w:shd w:fill="EAF1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8A82"/>
                <w:sz w:val="15"/>
                <w:szCs w:val="15"/>
              </w:rPr>
              <w:t xml:space="preserve">IN ENGLISH</w:t>
            </w:r>
          </w:p>
          <w:p>
            <w:pPr>
              <w:spacing w:after="0" w:line="264"/>
            </w:pPr>
            <w:r>
              <w:rPr>
                <w:sz w:val="19"/>
                <w:szCs w:val="19"/>
              </w:rPr>
              <w:t xml:space="preserve">Quietly, stablecoins are becoming treasury infrastructure. ~60% of flows are now B2B (cross-border, supplier payments, liquidity). On-chain rails cut all-in cross-border cost to 0.1–0.5% (vs 2–7% for wires) and move settlement from T+2 to T+0, running 24/7. Visa and Mastercard are adding stablecoin settlement, and executives point to corporate treasuries and AI agents as the next demand wave. The main barrier has shifted from regulation to integration — 70% of corporates would adopt faster with ready ERP/treasury connectors. The question is no longer "whether" but "how fast to integrate."</w:t>
            </w:r>
          </w:p>
        </w:tc>
      </w:tr>
    </w:tbl>
    <w:p>
      <w:pPr>
        <w:spacing w:after="200" w:before="80"/>
      </w:pPr>
      <w:r>
        <w:rPr>
          <w:b/>
          <w:bCs/>
          <w:color w:val="5A6672"/>
          <w:sz w:val="19"/>
          <w:szCs w:val="19"/>
        </w:rPr>
        <w:t xml:space="preserve">Источники / Sources: </w:t>
      </w:r>
      <w:hyperlink w:history="1" r:id="rIdalkviq2whgkm1pztto8y_">
        <w:r>
          <w:rPr>
            <w:rStyle w:val="Hyperlink"/>
            <w:sz w:val="19"/>
            <w:szCs w:val="19"/>
          </w:rPr>
          <w:t xml:space="preserve">CoinDesk (7 мая, корпорации и ИИ)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r2i42m54tgwrd8jvzzpjr">
        <w:r>
          <w:rPr>
            <w:rStyle w:val="Hyperlink"/>
            <w:sz w:val="19"/>
            <w:szCs w:val="19"/>
          </w:rPr>
          <w:t xml:space="preserve">Mastercard (расчёты в стейблкоинах)</w:t>
        </w:r>
      </w:hyperlink>
      <w:r>
        <w:rPr>
          <w:color w:val="C9D6DF"/>
          <w:sz w:val="19"/>
          <w:szCs w:val="19"/>
        </w:rPr>
        <w:t xml:space="preserve">   •   </w:t>
      </w:r>
      <w:hyperlink w:history="1" r:id="rIdfizzui1zwgsdlmiweeqqw">
        <w:r>
          <w:rPr>
            <w:rStyle w:val="Hyperlink"/>
            <w:sz w:val="19"/>
            <w:szCs w:val="19"/>
          </w:rPr>
          <w:t xml:space="preserve">insights4vc (corporate rails)</w:t>
        </w:r>
      </w:hyperlink>
    </w:p>
    <w:p>
      <w:pPr>
        <w:pBdr>
          <w:bottom w:val="single" w:color="C9D6DF" w:sz="6" w:space="1"/>
        </w:pBdr>
        <w:spacing w:after="160" w:before="80"/>
      </w:pPr>
      <w:r>
        <w:t xml:space="preserve"/>
      </w:r>
    </w:p>
    <w:p>
      <w:pPr>
        <w:pStyle w:val="Heading1"/>
      </w:pPr>
      <w:r>
        <w:t xml:space="preserve">Что отслеживать дальше / What to watch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b w:val="false"/>
          <w:bCs w:val="false"/>
        </w:rPr>
        <w:t xml:space="preserve">Судьба CLARITY Act в Сенате — где именно проведут границу «доходности» и как отреагируют банки. </w:t>
      </w:r>
      <w:r>
        <w:rPr>
          <w:i/>
          <w:iCs/>
          <w:color w:val="5A6672"/>
        </w:rPr>
        <w:t xml:space="preserve">(The Senate's line on stablecoin yield.)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Решение Совета управляющих ЕЦБ по цифровому евро и обновление Банка Англии по цифровому фунту. </w:t>
      </w:r>
      <w:r>
        <w:rPr>
          <w:i/>
          <w:iCs/>
          <w:color w:val="5A6672"/>
        </w:rPr>
        <w:t xml:space="preserve">(Digital euro vote; digital pound update.)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Лицензия Qivalis от ЦБ Нидерландов (ожидается во 2-м полугодии) и реальный запуск евро-стейблкоина с 37 банками. </w:t>
      </w:r>
      <w:r>
        <w:rPr>
          <w:i/>
          <w:iCs/>
          <w:color w:val="5A6672"/>
        </w:rPr>
        <w:t xml:space="preserve">(Qivalis licence and go-live.)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Пойдут ли за SoFi другие банки США — и кто следующим выпустит «банковский» стейблкоин. </w:t>
      </w:r>
      <w:r>
        <w:rPr>
          <w:i/>
          <w:iCs/>
          <w:color w:val="5A6672"/>
        </w:rPr>
        <w:t xml:space="preserve">(Which bank issues next.)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Запуск потребительского продукта Western Union (июнь) в Мексике и на Филиппинах — тест спроса в реальных коридорах переводов. </w:t>
      </w:r>
      <w:r>
        <w:rPr>
          <w:i/>
          <w:iCs/>
          <w:color w:val="5A6672"/>
        </w:rPr>
        <w:t xml:space="preserve">(Western Union's June consumer launch.)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Появление готовых ERP/казначейских коннекторов — это снимет главный барьер для корпоративного внедрения. </w:t>
      </w:r>
      <w:r>
        <w:rPr>
          <w:i/>
          <w:iCs/>
          <w:color w:val="5A6672"/>
        </w:rPr>
        <w:t xml:space="preserve">(Off-the-shelf ERP/treasury connectors.)</w:t>
      </w:r>
    </w:p>
    <w:p>
      <w:pPr>
        <w:pBdr>
          <w:top w:val="single" w:color="C9D6DF" w:sz="4" w:space="6"/>
        </w:pBdr>
        <w:spacing w:after="0" w:before="300"/>
      </w:pPr>
      <w:r>
        <w:rPr>
          <w:b/>
          <w:bCs/>
          <w:color w:val="13314F"/>
          <w:sz w:val="17"/>
          <w:szCs w:val="17"/>
        </w:rPr>
        <w:t xml:space="preserve">О дайджесте. </w:t>
      </w:r>
      <w:r>
        <w:rPr>
          <w:color w:val="5A6672"/>
          <w:sz w:val="17"/>
          <w:szCs w:val="17"/>
        </w:rPr>
        <w:t xml:space="preserve">«State of Stablecoins» — ежемесячный обзор Local Bridge для тех, кто хочет держать руку на пульсе: специалистов традиционных и цифровых финансов, а также представителей реального бизнеса. Выходит раз в месяц и дополнительно — по следам ключевых событий. Материал носит информационный характер и не является инвестиционной или юридической рекомендацией.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6DF" w:sz="4" w:space="4"/>
      </w:pBdr>
      <w:tabs>
        <w:tab w:val="right" w:pos="9026"/>
      </w:tabs>
    </w:pPr>
    <w:r>
      <w:rPr>
        <w:color w:val="5A6672"/>
        <w:sz w:val="14"/>
        <w:szCs w:val="14"/>
      </w:rPr>
      <w:t xml:space="preserve">Local Bridge — ежемесячный дайджест о стейблкоинах</w:t>
    </w:r>
    <w:r>
      <w:rPr>
        <w:sz w:val="14"/>
        <w:szCs w:val="14"/>
      </w:rPr>
      <w:t xml:space="preserve">	</w:t>
    </w:r>
    <w:r>
      <w:rPr>
        <w:color w:val="5A6672"/>
        <w:sz w:val="14"/>
        <w:szCs w:val="14"/>
      </w:rPr>
      <w:t xml:space="preserve">Стр. </w:t>
    </w:r>
    <w:r>
      <w:rPr>
        <w:color w:val="5A6672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6DF" w:sz="4" w:space="4"/>
      </w:pBdr>
      <w:tabs>
        <w:tab w:val="right" w:pos="9026"/>
      </w:tabs>
      <w:spacing w:after="0"/>
    </w:pPr>
    <w:r>
      <w:rPr>
        <w:b/>
        <w:bCs/>
        <w:color w:val="13314F"/>
        <w:sz w:val="15"/>
        <w:szCs w:val="15"/>
      </w:rPr>
      <w:t xml:space="preserve">STATE OF STABLECOINS</w:t>
    </w:r>
    <w:r>
      <w:rPr>
        <w:color w:val="5A6672"/>
        <w:sz w:val="15"/>
        <w:szCs w:val="15"/>
      </w:rPr>
      <w:t xml:space="preserve">	Local Bridge  •  Май / May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1F8A8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60" w:hanging="280"/>
      </w:pPr>
      <w:rPr>
        <w:color w:val="1F8A8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B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Arial" w:cs="Arial" w:eastAsia="Arial" w:hAnsi="Arial"/>
      <w:b/>
      <w:bCs/>
      <w:color w:val="13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13314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xlqh0j1rttaofzqxpcj7b" Type="http://schemas.openxmlformats.org/officeDocument/2006/relationships/hyperlink" Target="https://www.coindesk.com/business/2026/05/27/sofi-brings-bank-issued-stablecoin-to-15-million-users-in-crypto-push" TargetMode="External"/><Relationship Id="rId240xvclyafzdjmtvjgesl" Type="http://schemas.openxmlformats.org/officeDocument/2006/relationships/hyperlink" Target="https://www.businesswire.com/news/home/20260527091798/en/SoFiUSD-Becomes-the-First-Stablecoin-Issued-by-a-US-National-Bank-to-Launch-on-a-Banking-Platform" TargetMode="External"/><Relationship Id="rIdm1r4rnoi3mixdygfvasvv" Type="http://schemas.openxmlformats.org/officeDocument/2006/relationships/hyperlink" Target="https://ir.westernunion.com/news/archived-press-releases/press-release-details/2026/Western-Union-Launches-USDPT-on-Solana-Advancing-Regulated-Digital-Infrastructure-for-Global-Payments/default.aspx" TargetMode="External"/><Relationship Id="rIdvbvcvqnlzkncwmn3c-__7" Type="http://schemas.openxmlformats.org/officeDocument/2006/relationships/hyperlink" Target="https://www.coindesk.com/business/2026/05/05/western-union-s-solana-based-stablecoin-could-reshape-its-payment-model-analyst-says" TargetMode="External"/><Relationship Id="rIdjktws8yn4sikg68janicv" Type="http://schemas.openxmlformats.org/officeDocument/2006/relationships/hyperlink" Target="https://beincrypto.com/circle-q1-2026-earnings-onchain-volume-profit/" TargetMode="External"/><Relationship Id="rIdojj0f2tvrpyqo9ym8g5ng" Type="http://schemas.openxmlformats.org/officeDocument/2006/relationships/hyperlink" Target="https://www.pymnts.com/earnings/2026/circle-bets-on-2026-growth-after-stablecoin-transactions-skyrocket-247percent/" TargetMode="External"/><Relationship Id="rIdnn0jw_ogtq5mhywkm9xtg" Type="http://schemas.openxmlformats.org/officeDocument/2006/relationships/hyperlink" Target="https://finance.yahoo.com/markets/crypto/articles/circle-gives-ai-agents-usdc-211546876.html" TargetMode="External"/><Relationship Id="rIdzm-nrueeo6hltlean6shy" Type="http://schemas.openxmlformats.org/officeDocument/2006/relationships/hyperlink" Target="https://www.coindesk.com/policy/2026/05/01/clarity-act-text-lets-crypto-firms-offer-stablecoin-rewards-while-shielding-bank-yield" TargetMode="External"/><Relationship Id="rIdltx6jqzxetj2pivn7bnnm" Type="http://schemas.openxmlformats.org/officeDocument/2006/relationships/hyperlink" Target="https://www.coindesk.com/policy/2026/05/29/the-banks-will-not-accept-it-dimon-escalates-battle-over-stablecoin-rewards-in-clarity-act-debate" TargetMode="External"/><Relationship Id="rIdqwqw2g3xtp4znusb-wd-u" Type="http://schemas.openxmlformats.org/officeDocument/2006/relationships/hyperlink" Target="https://fortune.com/2026/05/13/crypto-clarity-act-senate-markup/" TargetMode="External"/><Relationship Id="rIdmcyzrcfent0ujs950ozvo" Type="http://schemas.openxmlformats.org/officeDocument/2006/relationships/hyperlink" Target="https://www.ecb.europa.eu/press/key/date/2026/html/ecb.sp260508~dd909fbed1.en.html" TargetMode="External"/><Relationship Id="rIdsk0ylvicffuwj92qp86tm" Type="http://schemas.openxmlformats.org/officeDocument/2006/relationships/hyperlink" Target="https://www.pymnts.com/cryptocurrency/2026/european-central-bank-board-member-says-stablecoins-threaten-financial-stability/" TargetMode="External"/><Relationship Id="rIdkdvrx7bdc94m-qfmue0kr" Type="http://schemas.openxmlformats.org/officeDocument/2006/relationships/hyperlink" Target="https://www.ft.com/content/49d1dd42-2450-4f8e-bd4d-dcda5f1a6b01" TargetMode="External"/><Relationship Id="rIdohywpmzsv4wtklsz7ir1g" Type="http://schemas.openxmlformats.org/officeDocument/2006/relationships/hyperlink" Target="https://ncua.gov/newsroom/press-release/2026/ncua-announces-proposed-rule-permitted-payment-stablecoin-issuer-standards" TargetMode="External"/><Relationship Id="rIdw2zmmiemjfh5ksyi8e35e" Type="http://schemas.openxmlformats.org/officeDocument/2006/relationships/hyperlink" Target="https://occ.treas.gov/news-issuances/bulletins/2026/bulletin-2026-3.html" TargetMode="External"/><Relationship Id="rIdd8htel6r1iw8luunr0yzs" Type="http://schemas.openxmlformats.org/officeDocument/2006/relationships/hyperlink" Target="https://bvnk.com/blog/global-stablecoin-regulations-2026" TargetMode="External"/><Relationship Id="rIdalkviq2whgkm1pztto8y_" Type="http://schemas.openxmlformats.org/officeDocument/2006/relationships/hyperlink" Target="https://www.coindesk.com/business/2026/05/07/ai-agents-and-large-corporates-will-lead-the-next-stablecoin-boom-executives-say" TargetMode="External"/><Relationship Id="rIdr2i42m54tgwrd8jvzzpjr" Type="http://schemas.openxmlformats.org/officeDocument/2006/relationships/hyperlink" Target="https://www.mastercard.com/us/en/news-and-trends/press/2026/june/mastercard-expands-settlement-capabilities-to-include-stablecoin.html" TargetMode="External"/><Relationship Id="rIdfizzui1zwgsdlmiweeqqw" Type="http://schemas.openxmlformats.org/officeDocument/2006/relationships/hyperlink" Target="https://insights4vc.substack.com/p/stablecoins-as-corporate-cross-border" TargetMode="External"/><Relationship Id="rId2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Stablecoins — May 2026</dc:title>
  <dc:creator>Local Bridge</dc:creator>
  <cp:lastModifiedBy>Un-named</cp:lastModifiedBy>
  <cp:revision>1</cp:revision>
  <dcterms:created xsi:type="dcterms:W3CDTF">2026-06-13T08:22:44.695Z</dcterms:created>
  <dcterms:modified xsi:type="dcterms:W3CDTF">2026-06-13T08:22:44.699Z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